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7C4486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E77DD">
        <w:rPr>
          <w:rFonts w:asciiTheme="minorHAnsi" w:hAnsiTheme="minorHAnsi"/>
          <w:b/>
          <w:bCs/>
          <w:sz w:val="28"/>
          <w:szCs w:val="28"/>
        </w:rPr>
        <w:t>18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7E77DD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7C448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>A atividade pode ocorrer sem monitoria. E iniciará pontualmente às 1</w:t>
      </w:r>
      <w:r w:rsidR="007C4486">
        <w:rPr>
          <w:rFonts w:asciiTheme="minorHAnsi" w:hAnsiTheme="minorHAnsi" w:cs="Arial"/>
          <w:b/>
          <w:bCs/>
        </w:rPr>
        <w:t>2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7C4486"/>
    <w:rsid w:val="007E77DD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F649-9F36-4ABF-B927-DE084718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2017-01-05T11:44:00Z</dcterms:created>
  <dcterms:modified xsi:type="dcterms:W3CDTF">2017-01-05T11:44:00Z</dcterms:modified>
</cp:coreProperties>
</file>